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A_edei--DocumentType_c20260915__20"/>
      <w:bookmarkEnd w:id="2"/>
      <w:r>
        <w:rPr>
          <w:rFonts w:ascii="Times New Roman;Times;Serif" w:hAnsi="Times New Roman;Times;Serif"/>
          <w:b/>
          <w:i w:val="false"/>
          <w:caps w:val="false"/>
          <w:smallCaps w:val="false"/>
          <w:sz w:val="36"/>
        </w:rPr>
        <w:t>8-K</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1_edei--DocumentPeriodEndDate_c202"/>
      <w:bookmarkEnd w:id="3"/>
      <w:r>
        <w:rPr>
          <w:rFonts w:ascii="Times New Roman;Times;Serif" w:hAnsi="Times New Roman;Times;Serif"/>
          <w:b/>
          <w:i w:val="false"/>
          <w:caps w:val="false"/>
          <w:smallCaps w:val="false"/>
          <w:sz w:val="20"/>
        </w:rPr>
        <w:t>September 15, 2026</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Beneficient</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Charter)</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5220" w:type="dxa"/>
        <w:jc w:val="left"/>
        <w:tblInd w:w="0" w:type="dxa"/>
        <w:tblLayout w:type="fixed"/>
        <w:tblCellMar>
          <w:top w:w="0" w:type="dxa"/>
          <w:left w:w="0" w:type="dxa"/>
          <w:bottom w:w="0" w:type="dxa"/>
          <w:right w:w="0" w:type="dxa"/>
        </w:tblCellMar>
      </w:tblPr>
      <w:tblGrid>
        <w:gridCol w:w="2360"/>
        <w:gridCol w:w="60"/>
        <w:gridCol w:w="117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0_edei--EntityIncorporationStateCo"/>
            <w:bookmarkEnd w:id="5"/>
            <w:r>
              <w:rPr>
                <w:rFonts w:ascii="Times New Roman;Times;Serif" w:hAnsi="Times New Roman;Times;Serif"/>
                <w:b/>
                <w:i w:val="false"/>
                <w:caps w:val="false"/>
                <w:smallCaps w:val="false"/>
                <w:sz w:val="20"/>
              </w:rPr>
              <w:t>Nevada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E_edei--EntityFileNumber_c20260915"/>
            <w:bookmarkEnd w:id="6"/>
            <w:r>
              <w:rPr>
                <w:rFonts w:ascii="Times New Roman;Times;Serif" w:hAnsi="Times New Roman;Times;Serif"/>
                <w:b/>
                <w:i w:val="false"/>
                <w:caps w:val="false"/>
                <w:smallCaps w:val="false"/>
                <w:sz w:val="20"/>
              </w:rPr>
              <w:t>001-41715</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D_edei--EntityTaxIdentificationNum"/>
            <w:bookmarkEnd w:id="7"/>
            <w:r>
              <w:rPr>
                <w:rFonts w:ascii="Times New Roman;Times;Serif" w:hAnsi="Times New Roman;Times;Serif"/>
                <w:b/>
                <w:i w:val="false"/>
                <w:caps w:val="false"/>
                <w:smallCaps w:val="false"/>
                <w:sz w:val="20"/>
              </w:rPr>
              <w:t>72-1573705</w:t>
            </w:r>
          </w:p>
        </w:tc>
      </w:tr>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7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w:t>
              <w:b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(I.R.S. Employer </w:t>
              <w:br/>
              <w:t>Identification No.)</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xdx_902_edei--EntityAddressAddressLine1_"/>
      <w:bookmarkEnd w:id="8"/>
      <w:r>
        <w:rPr>
          <w:rFonts w:ascii="Times New Roman;Times;Serif" w:hAnsi="Times New Roman;Times;Serif"/>
          <w:b/>
          <w:i w:val="false"/>
          <w:caps w:val="false"/>
          <w:smallCaps w:val="false"/>
          <w:sz w:val="20"/>
        </w:rPr>
        <w:t xml:space="preserve">325 North St. Paul Street, </w:t>
      </w:r>
      <w:bookmarkStart w:id="9" w:name="xdx_901_edei--EntityAddressAddressLine2_"/>
      <w:bookmarkEnd w:id="9"/>
      <w:r>
        <w:rPr>
          <w:rFonts w:ascii="Times New Roman;Times;Serif" w:hAnsi="Times New Roman;Times;Serif"/>
          <w:b/>
          <w:i w:val="false"/>
          <w:caps w:val="false"/>
          <w:smallCaps w:val="false"/>
          <w:sz w:val="20"/>
        </w:rPr>
        <w:t>Suite 4850</w:t>
      </w:r>
    </w:p>
    <w:p>
      <w:pPr>
        <w:pStyle w:val="TextBody"/>
        <w:bidi w:val="0"/>
        <w:spacing w:before="0" w:after="0"/>
        <w:jc w:val="center"/>
        <w:rPr>
          <w:rFonts w:ascii="Times New Roman;Times;Serif" w:hAnsi="Times New Roman;Times;Serif"/>
          <w:b/>
          <w:i w:val="false"/>
          <w:caps w:val="false"/>
          <w:smallCaps w:val="false"/>
          <w:sz w:val="20"/>
        </w:rPr>
      </w:pPr>
      <w:bookmarkStart w:id="10" w:name="xdx_90A_edei--EntityAddressCityOrTown_c2"/>
      <w:bookmarkEnd w:id="10"/>
      <w:r>
        <w:rPr>
          <w:rFonts w:ascii="Times New Roman;Times;Serif" w:hAnsi="Times New Roman;Times;Serif"/>
          <w:b/>
          <w:i w:val="false"/>
          <w:caps w:val="false"/>
          <w:smallCaps w:val="false"/>
          <w:sz w:val="20"/>
        </w:rPr>
        <w:t xml:space="preserve">Dallas, </w:t>
      </w:r>
      <w:bookmarkStart w:id="11" w:name="xdx_90F_edei--EntityAddressStateOrProvin"/>
      <w:bookmarkEnd w:id="11"/>
      <w:r>
        <w:rPr>
          <w:rFonts w:ascii="Times New Roman;Times;Serif" w:hAnsi="Times New Roman;Times;Serif"/>
          <w:b/>
          <w:i w:val="false"/>
          <w:caps w:val="false"/>
          <w:smallCaps w:val="false"/>
          <w:sz w:val="20"/>
        </w:rPr>
        <w:t xml:space="preserve">Texas </w:t>
      </w:r>
      <w:bookmarkStart w:id="12" w:name="xdx_906_edei--EntityAddressPostalZipCode"/>
      <w:bookmarkEnd w:id="12"/>
      <w:r>
        <w:rPr>
          <w:rFonts w:ascii="Times New Roman;Times;Serif" w:hAnsi="Times New Roman;Times;Serif"/>
          <w:b/>
          <w:i w:val="false"/>
          <w:caps w:val="false"/>
          <w:smallCaps w:val="false"/>
          <w:sz w:val="20"/>
        </w:rPr>
        <w:t>75201</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and Zip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13" w:name="xdx_909_edei--CityAreaCode_c20260915__20"/>
      <w:bookmarkEnd w:id="13"/>
      <w:r>
        <w:rPr>
          <w:rFonts w:ascii="Times New Roman;Times;Serif" w:hAnsi="Times New Roman;Times;Serif"/>
          <w:b/>
          <w:i w:val="false"/>
          <w:caps w:val="false"/>
          <w:smallCaps w:val="false"/>
          <w:sz w:val="20"/>
        </w:rPr>
        <w:t xml:space="preserve">(214) </w:t>
      </w:r>
      <w:bookmarkStart w:id="14" w:name="xdx_90A_edei--LocalPhoneNumber_c20260915"/>
      <w:bookmarkEnd w:id="14"/>
      <w:r>
        <w:rPr>
          <w:rFonts w:ascii="Times New Roman;Times;Serif" w:hAnsi="Times New Roman;Times;Serif"/>
          <w:b/>
          <w:i w:val="false"/>
          <w:caps w:val="false"/>
          <w:smallCaps w:val="false"/>
          <w:sz w:val="20"/>
        </w:rPr>
        <w:t>445-4700</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pBdr>
          <w:bottom w:val="single" w:sz="8" w:space="1" w:color="000000"/>
        </w:pBdr>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caps w:val="false"/>
          <w:smallCaps w:val="false"/>
          <w:sz w:val="20"/>
        </w:rPr>
        <w:t xml:space="preserve">see </w:t>
      </w:r>
      <w:r>
        <w:rPr>
          <w:rFonts w:ascii="Times New Roman;Times;Serif" w:hAnsi="Times New Roman;Times;Serif"/>
          <w:b w:val="false"/>
          <w:i w:val="false"/>
          <w:caps w:val="false"/>
          <w:smallCaps w:val="false"/>
          <w:sz w:val="20"/>
        </w:rPr>
        <w:t>General Instruction A.2. below):</w:t>
      </w:r>
    </w:p>
    <w:p>
      <w:pPr>
        <w:pStyle w:val="TextBody"/>
        <w:bidi w:val="0"/>
        <w:spacing w:before="0" w:after="0"/>
        <w:jc w:val="left"/>
        <w:rPr>
          <w:caps w:val="false"/>
          <w:smallCaps w:val="false"/>
        </w:rPr>
      </w:pPr>
      <w:r>
        <w:rPr>
          <w:caps w:val="false"/>
          <w:smallCaps w:val="false"/>
        </w:rPr>
        <w:t> </w:t>
      </w:r>
    </w:p>
    <w:tbl>
      <w:tblPr>
        <w:tblW w:w="9370" w:type="dxa"/>
        <w:jc w:val="left"/>
        <w:tblInd w:w="0" w:type="dxa"/>
        <w:tblLayout w:type="fixed"/>
        <w:tblCellMar>
          <w:top w:w="0" w:type="dxa"/>
          <w:left w:w="0" w:type="dxa"/>
          <w:bottom w:w="0" w:type="dxa"/>
          <w:right w:w="0" w:type="dxa"/>
        </w:tblCellMar>
      </w:tblPr>
      <w:tblGrid>
        <w:gridCol w:w="75"/>
        <w:gridCol w:w="230"/>
        <w:gridCol w:w="90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5" w:name="xdx_907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 pursuant to Rule 425 under the Securities Act (17 CFR 230.425)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6" w:name="xdx_90D_edei--PreCommencementTenderOffer"/>
            <w:bookmarkStart w:id="17" w:name="xdx_906_edei--PreCommencementIssuerTende"/>
            <w:bookmarkStart w:id="18" w:name="xdx_90B_edei--SolicitingMaterial_c202609"/>
            <w:bookmarkEnd w:id="16"/>
            <w:bookmarkEnd w:id="17"/>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19" w:name="xdx_902_edei--PreCommencementTenderOffer"/>
            <w:bookmarkEnd w:id="19"/>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bookmarkStart w:id="20" w:name="xdx_901_edei--PreCommencementIssuerTende"/>
            <w:bookmarkEnd w:id="20"/>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30"/>
        <w:gridCol w:w="60"/>
        <w:gridCol w:w="1092"/>
        <w:gridCol w:w="60"/>
        <w:gridCol w:w="2063"/>
      </w:tblGrid>
      <w:tr>
        <w:trPr/>
        <w:tc>
          <w:tcPr>
            <w:tcW w:w="69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3"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69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5_edei--Security12bTitle_c20260915"/>
            <w:bookmarkEnd w:id="21"/>
            <w:r>
              <w:rPr>
                <w:rFonts w:ascii="Times New Roman;Times;Serif" w:hAnsi="Times New Roman;Times;Serif"/>
                <w:b w:val="false"/>
                <w:i w:val="false"/>
                <w:caps w:val="false"/>
                <w:smallCaps w:val="false"/>
                <w:sz w:val="20"/>
              </w:rPr>
              <w:t>Shares of Class A common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A_edei--TradingSymbol_c20260915__2"/>
            <w:bookmarkEnd w:id="22"/>
            <w:r>
              <w:rPr>
                <w:rFonts w:ascii="Times New Roman;Times;Serif" w:hAnsi="Times New Roman;Times;Serif"/>
                <w:b w:val="false"/>
                <w:i w:val="false"/>
                <w:caps w:val="false"/>
                <w:smallCaps w:val="false"/>
                <w:sz w:val="20"/>
              </w:rPr>
              <w:t>BENF</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D_edei--SecurityExchangeName_c2026"/>
            <w:bookmarkEnd w:id="23"/>
            <w:r>
              <w:rPr>
                <w:rFonts w:ascii="Times New Roman;Times;Serif" w:hAnsi="Times New Roman;Times;Serif"/>
                <w:b w:val="false"/>
                <w:i w:val="false"/>
                <w:caps w:val="false"/>
                <w:smallCaps w:val="false"/>
                <w:sz w:val="20"/>
              </w:rPr>
              <w:t>The Nasdaq Stock Market LLC</w:t>
            </w:r>
          </w:p>
        </w:tc>
      </w:tr>
      <w:tr>
        <w:trPr/>
        <w:tc>
          <w:tcPr>
            <w:tcW w:w="69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2_edei--Security12bTitle_c20260915"/>
            <w:bookmarkEnd w:id="24"/>
            <w:r>
              <w:rPr>
                <w:rFonts w:ascii="Times New Roman;Times;Serif" w:hAnsi="Times New Roman;Times;Serif"/>
                <w:b w:val="false"/>
                <w:i w:val="false"/>
                <w:caps w:val="false"/>
                <w:smallCaps w:val="false"/>
                <w:sz w:val="20"/>
              </w:rPr>
              <w:t>Warrants, each whole warrant exercisable for one share of Class A common stock, par value $0.001 per share, and one share of Series A convertible preferred stock, par value $0.001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9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5" w:name="xdx_90B_edei--TradingSymbol_c20260915__2"/>
            <w:bookmarkEnd w:id="25"/>
            <w:r>
              <w:rPr>
                <w:rFonts w:ascii="Times New Roman;Times;Serif" w:hAnsi="Times New Roman;Times;Serif"/>
                <w:b w:val="false"/>
                <w:i w:val="false"/>
                <w:caps w:val="false"/>
                <w:smallCaps w:val="false"/>
                <w:sz w:val="20"/>
              </w:rPr>
              <w:t>BENFW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063"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6" w:name="xdx_904_edei--SecurityExchangeName_c2026"/>
            <w:bookmarkEnd w:id="26"/>
            <w:r>
              <w:rPr>
                <w:rFonts w:ascii="Times New Roman;Times;Serif" w:hAnsi="Times New Roman;Times;Serif"/>
                <w:b w:val="false"/>
                <w:i w:val="false"/>
                <w:caps w:val="false"/>
                <w:smallCaps w:val="false"/>
                <w:sz w:val="20"/>
              </w:rPr>
              <w:t>The Nasdaq Stock Market LLC</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of this chapter) or Rule 12b-2 of the Securities Exchange Act of 1934 (17 CFR §240.12b-2 of this chapter).</w:t>
      </w:r>
    </w:p>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7" w:name="xdx_900_edei--EntityEmergingGrowthCompan"/>
      <w:bookmarkEnd w:id="27"/>
      <w:r>
        <w:rPr>
          <w:rFonts w:ascii="Times New Roman;Times;Serif" w:hAnsi="Times New Roman;Times;Serif"/>
          <w:b w:val="false"/>
          <w:i w:val="false"/>
          <w:caps w:val="false"/>
          <w:smallCaps w:val="false"/>
          <w:sz w:val="20"/>
        </w:rPr>
        <w:t>☒</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8" w:name="xdx_90F_edei--EntityExTransitionPeriod_c"/>
      <w:bookmarkEnd w:id="28"/>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15, 2026, Beneficient (the “Company”) entered into subscription agreements with each of Peter T. Cangany, Jr., Derek L. Fletcher and James G. Silk, pursuant to which each of Messrs. Cangany, Fletcher and Silk purchased 18,868, 4,717 and 9,434 shares of the Company’s Class A common stock, par value $0.001 per share (the “Class A common stock”), respectively, at a price per share of $1.06 (such subscription agreements, collectively, the “Subscription Agreements”). Mr. Silk serves as the Company’s Chief Executive Officer, Mr. Fletcher serves as the Company’s Chief Fiduciary Officer and Messrs. Cangany and Fletcher are members of the Board of Directors of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issued pursuant to the Subscription Agreements are exempt from registration pursuant to Section 4(a)(2) of the Securities Act of 1933, as amended (the “Securities Act”), and Regulation D promulgated thereunder. Each of Messrs. Cangany, Fletcher and Silk represented to the Company that each is an “accredited investor” as defined in Rule 501 of the Securities Act and that the shares of Class A common stock issued pursuant to the Subscription Agreements were acquired for investment purposes and not with a view to, or for sale in connection with, any distribution thereof.</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2560" w:type="dxa"/>
        <w:jc w:val="left"/>
        <w:tblInd w:w="0" w:type="dxa"/>
        <w:tblLayout w:type="fixed"/>
        <w:tblCellMar>
          <w:top w:w="0" w:type="dxa"/>
          <w:left w:w="0" w:type="dxa"/>
          <w:bottom w:w="0" w:type="dxa"/>
          <w:right w:w="0" w:type="dxa"/>
        </w:tblCellMar>
      </w:tblPr>
      <w:tblGrid>
        <w:gridCol w:w="75"/>
        <w:gridCol w:w="545"/>
        <w:gridCol w:w="1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BENEFICIENT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40" w:type="dxa"/>
            <w:tcBorders/>
            <w:vAlign w:val="center"/>
          </w:tcPr>
          <w:p>
            <w:pPr>
              <w:pStyle w:val="TableContents"/>
              <w:pBdr>
                <w:bottom w:val="single" w:sz="4" w:space="1" w:color="000000"/>
              </w:pBdr>
              <w:bidi w:val="0"/>
              <w:spacing w:before="0" w:after="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Gregory W. Ezell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Gregory W. Ezell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Chief Financial Officer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September 16, 2026</w:t>
            </w:r>
          </w:p>
        </w:tc>
      </w:tr>
    </w:tbl>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3317</Characters>
  <CharactersWithSpaces>3953</CharactersWithSpaces>
  <Paragraphs>131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